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1f497d"/>
          <w:rtl w:val="0"/>
        </w:rPr>
        <w:t xml:space="preserve">TITLE</w:t>
      </w: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:</w:t>
      </w: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 Dean of Culture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1f497d"/>
          <w:rtl w:val="0"/>
        </w:rPr>
        <w:t xml:space="preserve">REPORTS TO</w:t>
      </w: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: Vice Principal / Director of Student Affairs</w:t>
      </w:r>
    </w:p>
    <w:p w:rsidR="00000000" w:rsidDel="00000000" w:rsidP="00000000" w:rsidRDefault="00000000" w:rsidRPr="00000000" w14:paraId="00000003">
      <w:pPr>
        <w:pageBreakBefore w:val="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1f497d"/>
          <w:rtl w:val="0"/>
        </w:rPr>
        <w:t xml:space="preserve">JOB FUNCTION</w:t>
      </w: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: The Dean of Culture </w:t>
      </w: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will collaborate with the school social worker, SEL coordinator, program manager, and student success advisors as a member of the Student Affairs Team. They are </w:t>
      </w: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responsible for maintaining a safe, orderly, and respectful school environment by enforcing discipline policies and responding to student behavior concerns. This individual works closely with teachers, staff, students, and families to ensure </w:t>
      </w: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consistent</w:t>
      </w: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 behavior expectations while fostering a positive school culture that promotes student engagement, social-emotional growth, and community values.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 Narrow" w:cs="Arial Narrow" w:eastAsia="Arial Narrow" w:hAnsi="Arial Narrow"/>
          <w:color w:val="1f497d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The Dean of Culture ensures that all students feel safe, respected, and responsible for their actions, helping to create a structured and supportive learning environment. This role leads school-wide initiatives that encourage positive student behavior, reinforce Urban Academy’s core values, and strengthen the school community.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Arial Narrow" w:cs="Arial Narrow" w:eastAsia="Arial Narrow" w:hAnsi="Arial Narrow"/>
          <w:b w:val="1"/>
          <w:color w:val="1f497d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1f497d"/>
          <w:u w:val="single"/>
          <w:rtl w:val="0"/>
        </w:rPr>
        <w:t xml:space="preserve">DUTIES and 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5"/>
        <w:keepNext w:val="0"/>
        <w:keepLines w:val="0"/>
        <w:shd w:fill="ffffff" w:val="clear"/>
        <w:spacing w:line="240" w:lineRule="auto"/>
        <w:rPr>
          <w:rFonts w:ascii="Arial Narrow" w:cs="Arial Narrow" w:eastAsia="Arial Narrow" w:hAnsi="Arial Narrow"/>
          <w:color w:val="1f497d"/>
        </w:rPr>
      </w:pPr>
      <w:bookmarkStart w:colFirst="0" w:colLast="0" w:name="_heading=h.bp1km3m6pum1" w:id="0"/>
      <w:bookmarkEnd w:id="0"/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Discipline &amp; Behavior Management: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hd w:fill="ffffff" w:val="clear"/>
        <w:spacing w:after="0" w:afterAutospacing="0" w:before="240" w:line="240" w:lineRule="auto"/>
        <w:ind w:left="72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Implement and enforce the school’s discipline policies and procedures consistently and fairly.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Oversee and manage the implementation of the Positive Behavioral Interventions and Supports (PBIS) program, ensuring school-wide consistency in reinforcing positive behavior expectations, monitoring program effectiveness, and training staff in PBIS strategies.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Address student behavioral incidents, investigate situations, and determine appropriate consequences in alignment with school policies.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Develop and oversee behavior interventions, including restorative practices, de-escalation strategies, and conflict resolution.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Support teachers in classroom management, providing guidance and intervention as needed.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Communicate effectively with families regarding student behavior concerns, interventions, and progress.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Maintain detailed records of behavior incidents and disciplinary actions, using data to inform and improve school-wide discipline practices.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240" w:before="0" w:beforeAutospacing="0" w:line="240" w:lineRule="auto"/>
        <w:ind w:left="72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Coordinate and supervise student common areas (hallways, cafeteria, recess, dismissal) to ensure positive behavior and adherence to school expectations.</w:t>
      </w:r>
    </w:p>
    <w:p w:rsidR="00000000" w:rsidDel="00000000" w:rsidP="00000000" w:rsidRDefault="00000000" w:rsidRPr="00000000" w14:paraId="0000000F">
      <w:pPr>
        <w:pStyle w:val="Heading5"/>
        <w:keepNext w:val="0"/>
        <w:keepLines w:val="0"/>
        <w:shd w:fill="ffffff" w:val="clear"/>
        <w:spacing w:line="240" w:lineRule="auto"/>
        <w:rPr>
          <w:rFonts w:ascii="Arial Narrow" w:cs="Arial Narrow" w:eastAsia="Arial Narrow" w:hAnsi="Arial Narrow"/>
          <w:color w:val="1f497d"/>
        </w:rPr>
      </w:pPr>
      <w:bookmarkStart w:colFirst="0" w:colLast="0" w:name="_heading=h.kr90whm2cqfv" w:id="1"/>
      <w:bookmarkEnd w:id="1"/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School Culture &amp; Climate Leadership: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0" w:afterAutospacing="0" w:before="240" w:line="240" w:lineRule="auto"/>
        <w:ind w:left="72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Lead initiatives that promote a positive school climate, encouraging student engagement and pride in the school community.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Implement programs reinforcing Urban Academy’s core values, fostering respect, responsibility, and positive peer interactions.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Coordinate school-wide events, assemblies, and student recognition programs that celebrate positive behavior and academic success.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Serve as a mentor and role model, helping students develop social-emotional skills, self-discipline, and leadership qualities.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Work with staff to integrate trauma-informed practices and social-emotional learning (SEL) into the school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240" w:before="0" w:beforeAutospacing="0" w:line="240" w:lineRule="auto"/>
        <w:ind w:left="72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Partner with families and the community to strengthen school culture through parent workshops, behavior reinforcement strategies, and student incentive programs.</w:t>
      </w:r>
    </w:p>
    <w:p w:rsidR="00000000" w:rsidDel="00000000" w:rsidP="00000000" w:rsidRDefault="00000000" w:rsidRPr="00000000" w14:paraId="00000016">
      <w:pPr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366091"/>
          <w:u w:val="single"/>
          <w:rtl w:val="0"/>
        </w:rPr>
        <w:t xml:space="preserve">KNOWLEDGE, SKILLS and ABILITIES</w:t>
      </w:r>
      <w:r w:rsidDel="00000000" w:rsidR="00000000" w:rsidRPr="00000000">
        <w:rPr>
          <w:rFonts w:ascii="Arial Narrow" w:cs="Arial Narrow" w:eastAsia="Arial Narrow" w:hAnsi="Arial Narrow"/>
          <w:b w:val="1"/>
          <w:color w:val="36609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before="240" w:line="240" w:lineRule="auto"/>
        <w:ind w:left="72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Lead school-wide initiatives and student engagement activities.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Strong organizational skills and ability to analyze discipline data to drive improvements.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Strong skills in conflict resolution, de-escalation, and relationship-building with students.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Ability to balance accountability with student support, using a firm but fair approach to discipline.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Ability to collaborate with teachers, staff, students, and families to maintain a supportive school climate.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240" w:before="0" w:beforeAutospacing="0" w:line="240" w:lineRule="auto"/>
        <w:ind w:left="720" w:hanging="360"/>
        <w:rPr>
          <w:rFonts w:ascii="Arial Narrow" w:cs="Arial Narrow" w:eastAsia="Arial Narrow" w:hAnsi="Arial Narrow"/>
          <w:color w:val="1f497d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Knowledge of restorative justice practices, Positive Behavior Interventions (PBIS), and trauma-informed approaches (preferred).</w:t>
      </w:r>
    </w:p>
    <w:p w:rsidR="00000000" w:rsidDel="00000000" w:rsidP="00000000" w:rsidRDefault="00000000" w:rsidRPr="00000000" w14:paraId="0000001D">
      <w:pPr>
        <w:rPr>
          <w:rFonts w:ascii="Arial Narrow" w:cs="Arial Narrow" w:eastAsia="Arial Narrow" w:hAnsi="Arial Narrow"/>
          <w:color w:val="36609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366091"/>
          <w:u w:val="single"/>
          <w:rtl w:val="0"/>
        </w:rPr>
        <w:t xml:space="preserve">EDUCATION and EXPERIENCE</w:t>
      </w:r>
      <w:r w:rsidDel="00000000" w:rsidR="00000000" w:rsidRPr="00000000">
        <w:rPr>
          <w:rFonts w:ascii="Arial Narrow" w:cs="Arial Narrow" w:eastAsia="Arial Narrow" w:hAnsi="Arial Narrow"/>
          <w:color w:val="366091"/>
          <w:rtl w:val="0"/>
        </w:rPr>
        <w:br w:type="textWrapping"/>
        <w:t xml:space="preserve">The Dean of Cult</w:t>
      </w: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ure </w:t>
      </w: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should possess </w:t>
      </w: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a Bachelor’s degree in Education, Social Work, Psychology, or a related field. Experience in behavior mana</w:t>
      </w:r>
      <w:r w:rsidDel="00000000" w:rsidR="00000000" w:rsidRPr="00000000">
        <w:rPr>
          <w:rFonts w:ascii="Arial Narrow" w:cs="Arial Narrow" w:eastAsia="Arial Narrow" w:hAnsi="Arial Narrow"/>
          <w:color w:val="366091"/>
          <w:rtl w:val="0"/>
        </w:rPr>
        <w:t xml:space="preserve">gement, student engagement, or school culture development would also be ideal.</w:t>
      </w:r>
    </w:p>
    <w:p w:rsidR="00000000" w:rsidDel="00000000" w:rsidP="00000000" w:rsidRDefault="00000000" w:rsidRPr="00000000" w14:paraId="0000001E">
      <w:pPr>
        <w:spacing w:after="0" w:lineRule="auto"/>
        <w:rPr>
          <w:rFonts w:ascii="Arial Narrow" w:cs="Arial Narrow" w:eastAsia="Arial Narrow" w:hAnsi="Arial Narrow"/>
          <w:b w:val="1"/>
          <w:color w:val="366091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366091"/>
          <w:u w:val="single"/>
          <w:rtl w:val="0"/>
        </w:rPr>
        <w:t xml:space="preserve">URBAN ACADEMY STATEMENT </w:t>
      </w:r>
    </w:p>
    <w:p w:rsidR="00000000" w:rsidDel="00000000" w:rsidP="00000000" w:rsidRDefault="00000000" w:rsidRPr="00000000" w14:paraId="0000001F">
      <w:pPr>
        <w:spacing w:after="0" w:lineRule="auto"/>
        <w:rPr>
          <w:rFonts w:ascii="Arial Narrow" w:cs="Arial Narrow" w:eastAsia="Arial Narrow" w:hAnsi="Arial Narrow"/>
          <w:color w:val="366091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rtl w:val="0"/>
        </w:rPr>
        <w:t xml:space="preserve">Urban Academy will be a model for Urban education and provide a strategic combination of academic excellence, cultural relevance, and broad educational access.   </w:t>
      </w:r>
      <w:r w:rsidDel="00000000" w:rsidR="00000000" w:rsidRPr="00000000">
        <w:rPr>
          <w:rFonts w:ascii="Arial Narrow" w:cs="Arial Narrow" w:eastAsia="Arial Narrow" w:hAnsi="Arial Narrow"/>
          <w:color w:val="366091"/>
          <w:rtl w:val="0"/>
        </w:rPr>
        <w:t xml:space="preserve">   </w:t>
      </w:r>
    </w:p>
    <w:p w:rsidR="00000000" w:rsidDel="00000000" w:rsidP="00000000" w:rsidRDefault="00000000" w:rsidRPr="00000000" w14:paraId="00000020">
      <w:pPr>
        <w:spacing w:after="0" w:lineRule="auto"/>
        <w:rPr>
          <w:rFonts w:ascii="Arial Narrow" w:cs="Arial Narrow" w:eastAsia="Arial Narrow" w:hAnsi="Arial Narrow"/>
          <w:b w:val="1"/>
          <w:color w:val="36609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rFonts w:ascii="Arial Narrow" w:cs="Arial Narrow" w:eastAsia="Arial Narrow" w:hAnsi="Arial Narrow"/>
          <w:b w:val="1"/>
          <w:color w:val="366091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366091"/>
          <w:u w:val="single"/>
          <w:rtl w:val="0"/>
        </w:rPr>
        <w:t xml:space="preserve">SALARY</w:t>
      </w:r>
    </w:p>
    <w:p w:rsidR="00000000" w:rsidDel="00000000" w:rsidP="00000000" w:rsidRDefault="00000000" w:rsidRPr="00000000" w14:paraId="00000022">
      <w:pPr>
        <w:spacing w:after="0" w:lineRule="auto"/>
        <w:rPr>
          <w:rFonts w:ascii="Arial Narrow" w:cs="Arial Narrow" w:eastAsia="Arial Narrow" w:hAnsi="Arial Narrow"/>
          <w:color w:val="1f497d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1f497d"/>
          <w:sz w:val="24"/>
          <w:szCs w:val="24"/>
          <w:rtl w:val="0"/>
        </w:rPr>
        <w:t xml:space="preserve">Salary starts at $55,000 annually and varies based on experience.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1152" w:left="1152" w:right="1152" w:header="54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3173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1f497d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2630805</wp:posOffset>
          </wp:positionH>
          <wp:positionV relativeFrom="paragraph">
            <wp:posOffset>-295274</wp:posOffset>
          </wp:positionV>
          <wp:extent cx="1047750" cy="967105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7696" l="0" r="0" t="0"/>
                  <a:stretch>
                    <a:fillRect/>
                  </a:stretch>
                </pic:blipFill>
                <pic:spPr>
                  <a:xfrm>
                    <a:off x="0" y="0"/>
                    <a:ext cx="1047750" cy="9671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3173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1"/>
        <w:color w:val="1f497d"/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3173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1"/>
        <w:color w:val="1f497d"/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3173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mallCaps w:val="0"/>
        <w:strike w:val="0"/>
        <w:color w:val="1f497d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color w:val="1f497d"/>
        <w:sz w:val="32"/>
        <w:szCs w:val="32"/>
        <w:rtl w:val="0"/>
      </w:rPr>
      <w:t xml:space="preserve">DEAN OF CULTURE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i w:val="0"/>
        <w:smallCaps w:val="0"/>
        <w:strike w:val="0"/>
        <w:color w:val="1f497d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color w:val="1f497d"/>
        <w:sz w:val="26"/>
        <w:szCs w:val="26"/>
        <w:rtl w:val="0"/>
      </w:rPr>
      <w:t xml:space="preserve">The </w:t>
    </w:r>
    <w:r w:rsidDel="00000000" w:rsidR="00000000" w:rsidRPr="00000000">
      <w:rPr>
        <w:rFonts w:ascii="Arial Narrow" w:cs="Arial Narrow" w:eastAsia="Arial Narrow" w:hAnsi="Arial Narrow"/>
        <w:i w:val="0"/>
        <w:smallCaps w:val="0"/>
        <w:strike w:val="0"/>
        <w:color w:val="1f497d"/>
        <w:sz w:val="26"/>
        <w:szCs w:val="26"/>
        <w:u w:val="none"/>
        <w:shd w:fill="auto" w:val="clear"/>
        <w:vertAlign w:val="baseline"/>
        <w:rtl w:val="0"/>
      </w:rPr>
      <w:t xml:space="preserve">Urban Academy of Greater Pittsburgh</w:t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8A58E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A58E1"/>
  </w:style>
  <w:style w:type="paragraph" w:styleId="Footer">
    <w:name w:val="footer"/>
    <w:basedOn w:val="Normal"/>
    <w:link w:val="FooterChar"/>
    <w:uiPriority w:val="99"/>
    <w:unhideWhenUsed w:val="1"/>
    <w:rsid w:val="008A58E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A58E1"/>
  </w:style>
  <w:style w:type="paragraph" w:styleId="ListParagraph">
    <w:name w:val="List Paragraph"/>
    <w:basedOn w:val="Normal"/>
    <w:uiPriority w:val="34"/>
    <w:qFormat w:val="1"/>
    <w:rsid w:val="00A72315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300A8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300A8C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n7wNZCu4mGPV7v97jB5CDvWf0w==">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2021-02-08T22:19:00Z</dcterms:created>
  <dc:creator>Chase Patterson</dc:creator>
</cp:coreProperties>
</file>